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697" w:rsidRDefault="00210697" w:rsidP="00210697">
      <w:pPr>
        <w:rPr>
          <w:sz w:val="22"/>
          <w:szCs w:val="22"/>
        </w:rPr>
      </w:pPr>
    </w:p>
    <w:p w:rsidR="00FD713B" w:rsidRPr="0022739F" w:rsidRDefault="00FD713B" w:rsidP="00CE6AE2">
      <w:pPr>
        <w:widowControl w:val="0"/>
        <w:spacing w:line="276" w:lineRule="auto"/>
        <w:jc w:val="center"/>
        <w:outlineLvl w:val="3"/>
        <w:rPr>
          <w:rFonts w:ascii="Montserrat" w:hAnsi="Montserrat" w:cs="Arial"/>
          <w:b/>
          <w:bCs/>
          <w:sz w:val="20"/>
          <w:szCs w:val="20"/>
          <w:u w:val="single"/>
          <w:lang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u w:val="single"/>
          <w:lang w:val="es-ES_tradnl" w:eastAsia="es-ES"/>
        </w:rPr>
        <w:t>INFORME JURÍDICO</w:t>
      </w:r>
    </w:p>
    <w:p w:rsidR="00FD713B" w:rsidRPr="0022739F" w:rsidRDefault="00FD713B" w:rsidP="00611C8E">
      <w:pPr>
        <w:spacing w:line="276" w:lineRule="auto"/>
        <w:ind w:firstLine="709"/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</w:pP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En cumplimiento de </w:t>
      </w:r>
      <w:r w:rsidR="00CE6AE2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Providencia de Alcaldía de fecha       y de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lo establecido en el artículo 3.3.d.1º del Real Decreto 128/2018, de 16 de marzo por el que se regula el régimen jurídico de los funcionarios de Administración Local con habilitación de carácter nacional y teniendo en cuenta el proyecto presentado de </w:t>
      </w:r>
      <w:r w:rsidR="00CE6AE2" w:rsidRPr="0022739F">
        <w:rPr>
          <w:rFonts w:ascii="Montserrat" w:hAnsi="Montserrat" w:cs="Arial"/>
          <w:sz w:val="20"/>
          <w:szCs w:val="20"/>
          <w:lang w:val="es-ES_tradnl" w:eastAsia="es-ES"/>
        </w:rPr>
        <w:t>imposición y ordenación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de la 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Ordenanza Fiscal Re</w:t>
      </w:r>
      <w:r w:rsidR="00CE6AE2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guladora de la tasa por la utilización privativa y aprovechamiento especial constituido por el suelo, subsuelo y vuelo de la vía pública a favor de empresas explotadoras de servicios de suministro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, emito el siguiente,</w:t>
      </w:r>
    </w:p>
    <w:p w:rsidR="00FD713B" w:rsidRPr="0022739F" w:rsidRDefault="00FD713B" w:rsidP="00611C8E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</w:p>
    <w:p w:rsidR="00CE6AE2" w:rsidRPr="0022739F" w:rsidRDefault="00FD713B" w:rsidP="00CE6AE2">
      <w:pPr>
        <w:spacing w:line="276" w:lineRule="auto"/>
        <w:ind w:firstLine="709"/>
        <w:jc w:val="center"/>
        <w:rPr>
          <w:rFonts w:ascii="Montserrat" w:hAnsi="Montserrat" w:cs="Arial"/>
          <w:b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sz w:val="20"/>
          <w:szCs w:val="20"/>
          <w:lang w:val="es-ES_tradnl" w:eastAsia="es-ES"/>
        </w:rPr>
        <w:t>INFORME</w:t>
      </w:r>
    </w:p>
    <w:p w:rsidR="00FD713B" w:rsidRPr="0022739F" w:rsidRDefault="00FD713B" w:rsidP="00CE6AE2">
      <w:pPr>
        <w:spacing w:line="276" w:lineRule="auto"/>
        <w:ind w:firstLine="709"/>
        <w:rPr>
          <w:rFonts w:ascii="Montserrat" w:hAnsi="Montserrat" w:cs="Arial"/>
          <w:b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 xml:space="preserve">PRIMERO.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La propuesta de </w:t>
      </w:r>
      <w:r w:rsidR="00CE6AE2" w:rsidRPr="0022739F">
        <w:rPr>
          <w:rFonts w:ascii="Montserrat" w:hAnsi="Montserrat" w:cs="Arial"/>
          <w:sz w:val="20"/>
          <w:szCs w:val="20"/>
          <w:lang w:val="es-ES_tradnl" w:eastAsia="es-ES"/>
        </w:rPr>
        <w:t>imposición y ordenación de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la Ordenanza fiscal reguladora de la tasa por 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la </w:t>
      </w:r>
      <w:r w:rsidR="00CE6AE2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utilización privativa y aprovechamiento especial constituido por el suelo, subsuelo y vuelo de la vía pública a favor de empresas explotadoras de servicios de suministro 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se circunscribe al régimen jurídico de aprobación de ordenanzas fiscales establecido en el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Texto Refundido de la Ley Reguladora de las Haciendas Locales, aprobado por Real Decreto Legislativo 2/2004, de 5 de marzo</w:t>
      </w:r>
      <w:r w:rsidR="00CE6AE2" w:rsidRPr="0022739F">
        <w:rPr>
          <w:rFonts w:ascii="Montserrat" w:eastAsia="Times New Roman" w:hAnsi="Montserrat" w:cs="Times New Roman"/>
          <w:color w:val="000000"/>
          <w:sz w:val="20"/>
          <w:szCs w:val="20"/>
          <w:lang w:eastAsia="es-ES"/>
        </w:rPr>
        <w:t xml:space="preserve"> </w:t>
      </w:r>
      <w:r w:rsidR="00CE6AE2" w:rsidRPr="0022739F">
        <w:rPr>
          <w:rFonts w:ascii="Montserrat" w:hAnsi="Montserrat" w:cs="Arial"/>
          <w:sz w:val="20"/>
          <w:szCs w:val="20"/>
          <w:lang w:eastAsia="es-ES"/>
        </w:rPr>
        <w:t>por el que se aprueba el texto refundido de la Ley Reguladora de las Haciendas Locales</w:t>
      </w:r>
      <w:r w:rsidR="00011FE7" w:rsidRPr="0022739F">
        <w:rPr>
          <w:rFonts w:ascii="Montserrat" w:hAnsi="Montserrat" w:cs="Arial"/>
          <w:sz w:val="20"/>
          <w:szCs w:val="20"/>
          <w:lang w:eastAsia="es-ES"/>
        </w:rPr>
        <w:t xml:space="preserve"> (TRLHL). </w:t>
      </w:r>
    </w:p>
    <w:p w:rsidR="00FD713B" w:rsidRPr="0022739F" w:rsidRDefault="00FD713B" w:rsidP="00CE6AE2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Así, </w:t>
      </w:r>
      <w:r w:rsidR="00CE6AE2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tanto la imposición como la aprobación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de ordenanzas fiscales se somete a las especialidades previstas en el Texto Refundido de la Ley Reguladora de las Haciendas Locales, aprobado por Real Decreto Legislativo 2/2004, de 5 de marzo y con carácter general, a las reglas y principios que rigen los procedimientos de aprobación de ordenanzas u otras disposiciones de carácter general.</w:t>
      </w:r>
    </w:p>
    <w:p w:rsidR="00FD713B" w:rsidRPr="0022739F" w:rsidRDefault="00FD713B" w:rsidP="00611C8E">
      <w:pPr>
        <w:widowControl w:val="0"/>
        <w:tabs>
          <w:tab w:val="left" w:pos="993"/>
          <w:tab w:val="left" w:pos="5954"/>
          <w:tab w:val="left" w:pos="6663"/>
        </w:tabs>
        <w:spacing w:line="276" w:lineRule="auto"/>
        <w:ind w:firstLine="720"/>
        <w:outlineLvl w:val="5"/>
        <w:rPr>
          <w:rFonts w:ascii="Montserrat" w:eastAsia="Verdana" w:hAnsi="Montserrat" w:cs="Arial"/>
          <w:sz w:val="20"/>
          <w:szCs w:val="20"/>
        </w:rPr>
      </w:pPr>
      <w:r w:rsidRPr="0022739F">
        <w:rPr>
          <w:rFonts w:ascii="Montserrat" w:eastAsia="Verdana" w:hAnsi="Montserrat" w:cs="Arial"/>
          <w:sz w:val="20"/>
          <w:szCs w:val="20"/>
          <w:lang w:val="es-ES_tradnl"/>
        </w:rPr>
        <w:t>En atención a ello y a la potestad reglamentaria conferida a las Entidades Locales por el artículo 4.1.a) de la Ley 7/1985, de 2 de abril, Reguladora de las Bases del Régimen Local, será posible establecer y exigir tributos a través de sus propias Ordenanzas fiscales, atribución que viene conferida al Pleno, conforme dispone el artículo 22.2.d) de la citada Ley.</w:t>
      </w:r>
    </w:p>
    <w:p w:rsidR="00FD713B" w:rsidRPr="0022739F" w:rsidRDefault="00FD713B" w:rsidP="00611C8E">
      <w:pPr>
        <w:spacing w:line="276" w:lineRule="auto"/>
        <w:ind w:firstLine="720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Dado que la </w:t>
      </w:r>
      <w:r w:rsidR="00CE6AE2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presente competencia regulatoria a través de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 ordenanzas fiscales se encuadra en el ejercicio de la potestad reglamentaria reconocida en el artículo 106 de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Ley 7/1985, de 2 de abril, reguladora de las Bases del Régimen Local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y cuyas normas o condiciones vienen dispuestas por la 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Ley 39/2015, de 1 de octubre, de procedimiento administrativo común de las Administraciones Públicas, la </w:t>
      </w:r>
      <w:r w:rsidR="00CE6AE2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imposición y ordenación de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 ordenanzas fiscales deberá hacerse con arreglo a dichas exigencias</w:t>
      </w:r>
      <w:r w:rsidR="00CE6AE2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, completado por los artículos 15 y siguientes del </w:t>
      </w:r>
      <w:r w:rsidR="00011FE7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TRLHL.</w:t>
      </w:r>
    </w:p>
    <w:p w:rsidR="00FD713B" w:rsidRPr="0022739F" w:rsidRDefault="00FD713B" w:rsidP="00611C8E">
      <w:pPr>
        <w:spacing w:line="276" w:lineRule="auto"/>
        <w:ind w:firstLine="720"/>
        <w:rPr>
          <w:rFonts w:ascii="Montserrat" w:hAnsi="Montserrat" w:cs="Arial"/>
          <w:sz w:val="20"/>
          <w:szCs w:val="20"/>
          <w:shd w:val="clear" w:color="auto" w:fill="FEFEFE"/>
          <w:lang w:eastAsia="es-ES"/>
        </w:rPr>
      </w:pP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Así las cosas, </w:t>
      </w:r>
      <w:r w:rsidRPr="0022739F">
        <w:rPr>
          <w:rFonts w:ascii="Montserrat" w:hAnsi="Montserrat" w:cs="Arial"/>
          <w:sz w:val="20"/>
          <w:szCs w:val="20"/>
          <w:shd w:val="clear" w:color="auto" w:fill="FEFEFE"/>
          <w:lang w:val="es-ES_tradnl" w:eastAsia="es-ES"/>
        </w:rPr>
        <w:t>la iniciativa normativa debe estar justificada por una razón de interés general, basarse en una identificación clara de los fines perseguidos y ser el instrumento más adecuado para garantizar su consecución.</w:t>
      </w:r>
    </w:p>
    <w:p w:rsidR="00FD713B" w:rsidRPr="0022739F" w:rsidRDefault="00FD713B" w:rsidP="00611C8E">
      <w:pPr>
        <w:spacing w:line="276" w:lineRule="auto"/>
        <w:ind w:firstLine="720"/>
        <w:rPr>
          <w:rFonts w:ascii="Montserrat" w:hAnsi="Montserrat" w:cs="Arial"/>
          <w:sz w:val="20"/>
          <w:szCs w:val="20"/>
          <w:shd w:val="clear" w:color="auto" w:fill="FEFEFE"/>
          <w:lang w:eastAsia="es-ES"/>
        </w:rPr>
      </w:pPr>
      <w:r w:rsidRPr="0022739F">
        <w:rPr>
          <w:rFonts w:ascii="Montserrat" w:hAnsi="Montserrat" w:cs="Arial"/>
          <w:sz w:val="20"/>
          <w:szCs w:val="20"/>
          <w:shd w:val="clear" w:color="auto" w:fill="FEFEFE"/>
          <w:lang w:val="es-ES_tradnl" w:eastAsia="es-ES"/>
        </w:rPr>
        <w:t xml:space="preserve">En virtud del principio de proporcionalidad, la iniciativa que se proponga deberá contener la regulación imprescindible para atender la necesidad a cubrir con la norma, </w:t>
      </w:r>
      <w:r w:rsidRPr="0022739F">
        <w:rPr>
          <w:rFonts w:ascii="Montserrat" w:hAnsi="Montserrat" w:cs="Arial"/>
          <w:sz w:val="20"/>
          <w:szCs w:val="20"/>
          <w:shd w:val="clear" w:color="auto" w:fill="FEFEFE"/>
          <w:lang w:val="es-ES_tradnl" w:eastAsia="es-ES"/>
        </w:rPr>
        <w:lastRenderedPageBreak/>
        <w:t>tras constatar que no existen otras medidas menos restrictivas de derechos, o que impongan menos obligaciones a los destinatarios.</w:t>
      </w:r>
    </w:p>
    <w:p w:rsidR="00FD713B" w:rsidRPr="0022739F" w:rsidRDefault="00FD713B" w:rsidP="00611C8E">
      <w:pPr>
        <w:widowControl w:val="0"/>
        <w:tabs>
          <w:tab w:val="left" w:pos="993"/>
          <w:tab w:val="left" w:pos="5954"/>
          <w:tab w:val="left" w:pos="6663"/>
        </w:tabs>
        <w:spacing w:line="276" w:lineRule="auto"/>
        <w:ind w:firstLine="720"/>
        <w:outlineLvl w:val="5"/>
        <w:rPr>
          <w:rFonts w:ascii="Montserrat" w:eastAsia="Verdana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shd w:val="clear" w:color="auto" w:fill="FEFEFE"/>
          <w:lang w:val="es-ES_tradnl" w:eastAsia="es-ES"/>
        </w:rPr>
        <w:t>La iniciativa normativa se ejercerá de manera coherente con el resto del ordenamiento jurídico. Cuando en materia de procedimiento administrativo la iniciativa normativa establezca trámites adicionales o distintos a los contemplados en esta Ley, éstos deberán ser justificados atendiendo a la singularidad de la materia o a los fines perseguidos por la propuesta.</w:t>
      </w:r>
    </w:p>
    <w:p w:rsidR="00FD713B" w:rsidRPr="0022739F" w:rsidRDefault="00FD713B" w:rsidP="00611C8E">
      <w:pPr>
        <w:spacing w:line="276" w:lineRule="auto"/>
        <w:ind w:firstLine="709"/>
        <w:rPr>
          <w:rFonts w:ascii="Montserrat" w:hAnsi="Montserrat" w:cs="Arial"/>
          <w:b/>
          <w:bCs/>
          <w:sz w:val="20"/>
          <w:szCs w:val="20"/>
          <w:lang w:eastAsia="es-ES"/>
        </w:rPr>
      </w:pPr>
    </w:p>
    <w:p w:rsidR="00FD713B" w:rsidRPr="0022739F" w:rsidRDefault="00FD713B" w:rsidP="00611C8E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>SEGUNDO.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La Legislación aplicable es la siguiente:</w:t>
      </w:r>
    </w:p>
    <w:p w:rsidR="00FD713B" w:rsidRPr="0022739F" w:rsidRDefault="00FD713B" w:rsidP="00611C8E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lang w:val="es-ES_tradnl" w:eastAsia="es-ES"/>
        </w:rPr>
        <w:t>— Los artículos 15 al 27 del Texto Refundido de la Ley Reguladora de las Haciendas Locales, aprobado por el Real Decreto Legislativo 2/2004, de 5 de marzo.</w:t>
      </w:r>
    </w:p>
    <w:p w:rsidR="00FD713B" w:rsidRPr="0022739F" w:rsidRDefault="00FD713B" w:rsidP="00611C8E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lang w:val="es-ES_tradnl" w:eastAsia="es-ES"/>
        </w:rPr>
        <w:t>— Los artículos 22.2.d), 47.1 y 106 y 107 de la Ley 7/1985, de 2 de abril, Reguladora de las Bases del Régimen Local.</w:t>
      </w:r>
    </w:p>
    <w:p w:rsidR="00FD713B" w:rsidRPr="0022739F" w:rsidRDefault="00FD713B" w:rsidP="00611C8E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lang w:val="es-ES_tradnl" w:eastAsia="es-ES"/>
        </w:rPr>
        <w:t>— El artículo 6 de la Ley 8/1989, de 13 de abril, de Tasas y Precios Públicos (concepto de tasa).</w:t>
      </w:r>
    </w:p>
    <w:p w:rsidR="00FD713B" w:rsidRPr="0022739F" w:rsidRDefault="00FD713B" w:rsidP="00611C8E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</w:p>
    <w:p w:rsidR="00FD713B" w:rsidRPr="0022739F" w:rsidRDefault="00FD713B" w:rsidP="00611C8E">
      <w:pPr>
        <w:widowControl w:val="0"/>
        <w:spacing w:line="276" w:lineRule="auto"/>
        <w:ind w:firstLine="709"/>
        <w:rPr>
          <w:rFonts w:ascii="Montserrat" w:hAnsi="Montserrat" w:cs="Arial"/>
          <w:sz w:val="20"/>
          <w:szCs w:val="20"/>
          <w:lang w:val="es-ES_tradnl"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>TERCERO.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Con base en dicha normativa se considera que el procedimiento adecuado para la </w:t>
      </w:r>
      <w:r w:rsidR="00011FE7" w:rsidRPr="0022739F">
        <w:rPr>
          <w:rFonts w:ascii="Montserrat" w:hAnsi="Montserrat" w:cs="Arial"/>
          <w:sz w:val="20"/>
          <w:szCs w:val="20"/>
          <w:lang w:val="es-ES_tradnl" w:eastAsia="es-ES"/>
        </w:rPr>
        <w:t>imposición y ordenación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de la Ordenanza fiscal </w:t>
      </w:r>
      <w:r w:rsidR="00011FE7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sobre </w:t>
      </w:r>
      <w:r w:rsidR="00011FE7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la utilización privativa y aprovechamiento especial constituido por el suelo, subsuelo y vuelo de la vía pública a favor de empresas explotadoras de servicios de suministro</w:t>
      </w:r>
      <w:r w:rsidR="00011FE7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, 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>es el siguiente:</w:t>
      </w:r>
    </w:p>
    <w:p w:rsidR="00FD713B" w:rsidRPr="0022739F" w:rsidRDefault="00FD713B" w:rsidP="00611C8E">
      <w:pPr>
        <w:spacing w:line="276" w:lineRule="auto"/>
        <w:ind w:firstLine="720"/>
        <w:rPr>
          <w:rFonts w:ascii="Montserrat" w:hAnsi="Montserrat" w:cs="Arial"/>
          <w:sz w:val="20"/>
          <w:szCs w:val="20"/>
          <w:lang w:eastAsia="es-ES"/>
        </w:rPr>
      </w:pPr>
    </w:p>
    <w:p w:rsidR="00FD713B" w:rsidRPr="0022739F" w:rsidRDefault="00FD713B" w:rsidP="00611C8E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sz w:val="20"/>
          <w:szCs w:val="20"/>
          <w:lang w:val="es-ES_tradnl" w:eastAsia="es-ES"/>
        </w:rPr>
        <w:t>A.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Se presenta por el servicio 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correspondiente (en este caso la iniciativa parte del equipo de gobierno)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propuesta de proyecto de </w:t>
      </w:r>
      <w:r w:rsidR="00011FE7" w:rsidRPr="0022739F">
        <w:rPr>
          <w:rFonts w:ascii="Montserrat" w:hAnsi="Montserrat" w:cs="Arial"/>
          <w:sz w:val="20"/>
          <w:szCs w:val="20"/>
          <w:lang w:val="es-ES_tradnl" w:eastAsia="es-ES"/>
        </w:rPr>
        <w:t>imposición y ordenación de la ordenanza fiscal referida</w:t>
      </w:r>
    </w:p>
    <w:p w:rsidR="00FD713B" w:rsidRPr="0022739F" w:rsidRDefault="00FD713B" w:rsidP="00011FE7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 xml:space="preserve">B.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Por Providencia de Alcaldía se incoa</w:t>
      </w:r>
      <w:r w:rsidR="00A37DC1" w:rsidRPr="0022739F">
        <w:rPr>
          <w:rFonts w:ascii="Montserrat" w:hAnsi="Montserrat" w:cs="Arial"/>
          <w:sz w:val="20"/>
          <w:szCs w:val="20"/>
          <w:lang w:val="es-ES_tradnl" w:eastAsia="es-ES"/>
        </w:rPr>
        <w:t>rá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el expediente y se solicita</w:t>
      </w:r>
      <w:r w:rsidR="00A37DC1" w:rsidRPr="0022739F">
        <w:rPr>
          <w:rFonts w:ascii="Montserrat" w:hAnsi="Montserrat" w:cs="Arial"/>
          <w:sz w:val="20"/>
          <w:szCs w:val="20"/>
          <w:lang w:val="es-ES_tradnl" w:eastAsia="es-ES"/>
        </w:rPr>
        <w:t>rá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la realización de los trámites necesarios para la aprobación de la modificación de la ordenanza fiscal propuesta.</w:t>
      </w:r>
    </w:p>
    <w:p w:rsidR="00FD713B" w:rsidRPr="0022739F" w:rsidRDefault="00FD713B" w:rsidP="00D84458">
      <w:pPr>
        <w:spacing w:line="276" w:lineRule="auto"/>
        <w:ind w:firstLine="708"/>
        <w:rPr>
          <w:rFonts w:ascii="Montserrat" w:eastAsia="Verdana" w:hAnsi="Montserrat" w:cs="Arial"/>
          <w:sz w:val="20"/>
          <w:szCs w:val="20"/>
          <w:lang w:val="es-ES_tradnl" w:eastAsia="es-ES"/>
        </w:rPr>
      </w:pPr>
      <w:r w:rsidRPr="0022739F">
        <w:rPr>
          <w:rFonts w:ascii="Montserrat" w:eastAsia="Verdana" w:hAnsi="Montserrat" w:cs="Arial"/>
          <w:b/>
          <w:sz w:val="20"/>
          <w:szCs w:val="20"/>
          <w:lang w:val="es-ES_tradnl" w:eastAsia="es-ES"/>
        </w:rPr>
        <w:t xml:space="preserve">C. </w:t>
      </w:r>
      <w:r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 xml:space="preserve"> Todo </w:t>
      </w:r>
      <w:r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>acuerdo de establecimiento o modificación de tasas debe adoptarse a la vista de un informe técnico-</w:t>
      </w:r>
      <w:r w:rsidRPr="0022739F">
        <w:rPr>
          <w:rFonts w:ascii="Montserrat" w:eastAsia="Verdana" w:hAnsi="Montserrat" w:cs="Arial"/>
          <w:iCs/>
          <w:sz w:val="20"/>
          <w:szCs w:val="20"/>
          <w:lang w:val="es-ES_tradnl" w:eastAsia="es-ES"/>
        </w:rPr>
        <w:t>económico,</w:t>
      </w:r>
      <w:r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 xml:space="preserve"> en el que se ponga de manifiesto la previsible cobertura del coste que genera la prestación del citado servicio</w:t>
      </w:r>
      <w:r w:rsidR="00011FE7"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>, si bien, en el presente caso</w:t>
      </w:r>
      <w:r w:rsidR="00A37DC1"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>,</w:t>
      </w:r>
      <w:r w:rsidR="00011FE7"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 xml:space="preserve"> al venir regulado por el TRLHL en términos cerrados en el art. 24.1.c) el 1,5% de los ingresos brutos, como justifica el informe técnico-económico de fecha __________, n</w:t>
      </w:r>
      <w:r w:rsidR="00D84458"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>o procede en el presente caso la justificació</w:t>
      </w:r>
      <w:r w:rsidR="00011FE7"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>n</w:t>
      </w:r>
      <w:r w:rsidR="00D84458"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 xml:space="preserve"> de la cobertura del coste quedando, por tanto, desligada del mismo.</w:t>
      </w:r>
    </w:p>
    <w:p w:rsidR="00FD713B" w:rsidRPr="0022739F" w:rsidRDefault="00FD713B" w:rsidP="00611C8E">
      <w:pPr>
        <w:spacing w:line="276" w:lineRule="auto"/>
        <w:ind w:firstLine="720"/>
        <w:rPr>
          <w:rFonts w:ascii="Montserrat" w:eastAsia="Verdana" w:hAnsi="Montserrat" w:cs="Arial"/>
          <w:b/>
          <w:sz w:val="20"/>
          <w:szCs w:val="20"/>
          <w:lang w:eastAsia="es-ES"/>
        </w:rPr>
      </w:pPr>
      <w:r w:rsidRPr="0022739F">
        <w:rPr>
          <w:rFonts w:ascii="Montserrat" w:eastAsia="Verdana" w:hAnsi="Montserrat" w:cs="Arial"/>
          <w:b/>
          <w:sz w:val="20"/>
          <w:szCs w:val="20"/>
          <w:lang w:val="es-ES_tradnl" w:eastAsia="es-ES"/>
        </w:rPr>
        <w:t xml:space="preserve">D. </w:t>
      </w:r>
      <w:r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 xml:space="preserve">Se </w:t>
      </w:r>
      <w:r w:rsidR="00A37DC1"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>emitirá</w:t>
      </w:r>
      <w:r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 xml:space="preserve"> informe jurídico en ejercicio de la función de asesoramiento legal preceptivo comprobándose la viabilidad y legalidad del proyecto </w:t>
      </w:r>
      <w:r w:rsidR="00A37DC1"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 xml:space="preserve">normativo </w:t>
      </w:r>
      <w:r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>prop</w:t>
      </w:r>
      <w:r w:rsidR="00A37DC1"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>uesto de acuerdo con la legislación</w:t>
      </w:r>
      <w:r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 xml:space="preserve"> que resulta de aplicación, así como con las reglas internas, que, en su caso, tenga aprobadas la Entidad en sus reglamentos orgánicos.</w:t>
      </w:r>
    </w:p>
    <w:p w:rsidR="00FD713B" w:rsidRPr="0022739F" w:rsidRDefault="00FD713B" w:rsidP="00D84458">
      <w:pPr>
        <w:spacing w:line="276" w:lineRule="auto"/>
        <w:ind w:firstLine="720"/>
        <w:rPr>
          <w:rFonts w:ascii="Montserrat" w:eastAsia="Verdana" w:hAnsi="Montserrat" w:cs="Arial"/>
          <w:b/>
          <w:sz w:val="20"/>
          <w:szCs w:val="20"/>
          <w:lang w:eastAsia="es-ES"/>
        </w:rPr>
      </w:pPr>
      <w:r w:rsidRPr="0022739F">
        <w:rPr>
          <w:rFonts w:ascii="Montserrat" w:eastAsia="Verdana" w:hAnsi="Montserrat" w:cs="Arial"/>
          <w:b/>
          <w:sz w:val="20"/>
          <w:szCs w:val="20"/>
          <w:lang w:val="es-ES_tradnl" w:eastAsia="es-ES"/>
        </w:rPr>
        <w:lastRenderedPageBreak/>
        <w:t>E.</w:t>
      </w:r>
      <w:r w:rsidR="00D30DCA" w:rsidRPr="0022739F">
        <w:rPr>
          <w:rFonts w:ascii="Montserrat" w:eastAsia="Verdana" w:hAnsi="Montserrat" w:cs="Arial"/>
          <w:b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>Informada la legalidad del proyecto propuesto y su adecu</w:t>
      </w:r>
      <w:r w:rsidR="00A37DC1"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>ación a la legislación, se emitirá</w:t>
      </w:r>
      <w:r w:rsidRPr="0022739F">
        <w:rPr>
          <w:rFonts w:ascii="Montserrat" w:eastAsia="Verdana" w:hAnsi="Montserrat" w:cs="Arial"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eastAsia="Verdana" w:hAnsi="Montserrat" w:cs="Arial"/>
          <w:bCs/>
          <w:sz w:val="20"/>
          <w:szCs w:val="20"/>
          <w:lang w:val="es-ES_tradnl" w:eastAsia="es-ES"/>
        </w:rPr>
        <w:t>informe de Intervención en el que se evaluarán la incidencia económico-financiera de la modificación, así como el cumplimiento de la normativa aplicable y en particular, los principios de estabilidad presupuestaria y sostenibilidad financiera.</w:t>
      </w:r>
    </w:p>
    <w:p w:rsidR="00FD713B" w:rsidRPr="0022739F" w:rsidRDefault="00FD713B" w:rsidP="00D84458">
      <w:pPr>
        <w:widowControl w:val="0"/>
        <w:spacing w:line="276" w:lineRule="auto"/>
        <w:ind w:firstLine="709"/>
        <w:rPr>
          <w:rFonts w:ascii="Montserrat" w:eastAsia="Verdana" w:hAnsi="Montserrat" w:cs="Arial"/>
          <w:color w:val="000000"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>F.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Suscritos los informes anteriores y adaptado, en su caso, el proyecto a las observaciones que los mismos pudieran compr</w:t>
      </w:r>
      <w:r w:rsidR="00A37DC1" w:rsidRPr="0022739F">
        <w:rPr>
          <w:rFonts w:ascii="Montserrat" w:hAnsi="Montserrat" w:cs="Arial"/>
          <w:sz w:val="20"/>
          <w:szCs w:val="20"/>
          <w:lang w:val="es-ES_tradnl" w:eastAsia="es-ES"/>
        </w:rPr>
        <w:t>ender, se redactará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informe propuesta de resolución que será entregado junto con el resto de documentos que integran el expediente en la Secretaría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de la corporación que, después de examinarlo, lo someterá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a la Alcaldía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para que, previo dictamen de la Comisión Informativa correspondiente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(que no se ha creado en el Ayuntamiento de </w:t>
      </w:r>
      <w:r w:rsidR="009151E2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XXX </w:t>
      </w:r>
      <w:proofErr w:type="spellStart"/>
      <w:r w:rsidR="009151E2" w:rsidRPr="0022739F">
        <w:rPr>
          <w:rFonts w:ascii="Montserrat" w:hAnsi="Montserrat" w:cs="Arial"/>
          <w:sz w:val="20"/>
          <w:szCs w:val="20"/>
          <w:lang w:val="es-ES_tradnl" w:eastAsia="es-ES"/>
        </w:rPr>
        <w:t>XXX</w:t>
      </w:r>
      <w:proofErr w:type="spellEnd"/>
      <w:r w:rsidR="009151E2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</w:t>
      </w:r>
      <w:proofErr w:type="spellStart"/>
      <w:r w:rsidR="009151E2" w:rsidRPr="0022739F">
        <w:rPr>
          <w:rFonts w:ascii="Montserrat" w:hAnsi="Montserrat" w:cs="Arial"/>
          <w:sz w:val="20"/>
          <w:szCs w:val="20"/>
          <w:lang w:val="es-ES_tradnl" w:eastAsia="es-ES"/>
        </w:rPr>
        <w:t>XXX</w:t>
      </w:r>
      <w:proofErr w:type="spellEnd"/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>)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, pueda incluirlos en el orden del día de una sesión y convocar al Pleno para la aprobación provisional de la </w:t>
      </w:r>
      <w:r w:rsidR="00D84458" w:rsidRPr="0022739F">
        <w:rPr>
          <w:rFonts w:ascii="Montserrat" w:hAnsi="Montserrat" w:cs="Arial"/>
          <w:sz w:val="20"/>
          <w:szCs w:val="20"/>
          <w:lang w:val="es-ES_tradnl" w:eastAsia="es-ES"/>
        </w:rPr>
        <w:t>imposición y ordenación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de la Ordenanza Fiscal reguladora de la tasa en cuestión.</w:t>
      </w:r>
    </w:p>
    <w:p w:rsidR="00FD713B" w:rsidRPr="0022739F" w:rsidRDefault="00FD713B" w:rsidP="00D84458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lang w:val="es-ES_tradnl" w:eastAsia="es-ES"/>
        </w:rPr>
        <w:t>El órgano competente es el Pleno de la Entidad Local, de acuerdo con el artículo 22.2.d)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de la Ley 7/1985, de 2 de abril, Reguladora de las Bases del Régimen Local. El acuerdo se adoptará por mayoría simple tal como establece el artículo 47.1 del mismo texto normativo.</w:t>
      </w:r>
    </w:p>
    <w:p w:rsidR="00FD713B" w:rsidRPr="0022739F" w:rsidRDefault="00FD713B" w:rsidP="00611C8E">
      <w:pPr>
        <w:widowControl w:val="0"/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>G.</w:t>
      </w:r>
      <w:r w:rsidR="00D30DCA"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Aprobada provisionalmente la modificación de la ordenanza fiscal, se somete</w:t>
      </w:r>
      <w:r w:rsidR="00A37DC1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rá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 el expediente a información pública en el tablón de anuncios</w:t>
      </w:r>
      <w:r w:rsidR="00D30DCA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de la entidad y en el </w:t>
      </w:r>
      <w:r w:rsidRPr="0022739F">
        <w:rPr>
          <w:rFonts w:ascii="Montserrat" w:hAnsi="Montserrat" w:cs="Arial"/>
          <w:iCs/>
          <w:snapToGrid w:val="0"/>
          <w:sz w:val="20"/>
          <w:szCs w:val="20"/>
          <w:lang w:val="es-ES_tradnl" w:eastAsia="es-ES"/>
        </w:rPr>
        <w:t>Boletín Oficial de la Provincia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 durante treinta días, como mínimo, dentro de los cuales los interesados podrán examinar el expediente y presentar las reclamaciones que estimen oportunas.</w:t>
      </w:r>
    </w:p>
    <w:p w:rsidR="00FD713B" w:rsidRPr="0022739F" w:rsidRDefault="00FD713B" w:rsidP="00D84458">
      <w:pPr>
        <w:widowControl w:val="0"/>
        <w:tabs>
          <w:tab w:val="left" w:pos="993"/>
          <w:tab w:val="left" w:pos="5954"/>
          <w:tab w:val="left" w:pos="6663"/>
        </w:tabs>
        <w:spacing w:line="276" w:lineRule="auto"/>
        <w:ind w:firstLine="720"/>
        <w:outlineLvl w:val="5"/>
        <w:rPr>
          <w:rFonts w:ascii="Montserrat" w:hAnsi="Montserrat" w:cs="Arial"/>
          <w:i/>
          <w:sz w:val="20"/>
          <w:szCs w:val="20"/>
          <w:lang w:eastAsia="es-ES"/>
        </w:rPr>
      </w:pPr>
      <w:r w:rsidRPr="0022739F">
        <w:rPr>
          <w:rFonts w:ascii="Montserrat" w:hAnsi="Montserrat" w:cs="Arial"/>
          <w:bCs/>
          <w:iCs/>
          <w:sz w:val="20"/>
          <w:szCs w:val="20"/>
          <w:lang w:val="es-ES_tradnl" w:eastAsia="es-ES"/>
        </w:rPr>
        <w:t xml:space="preserve">Asimismo,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estará a disposición de los interesados en la sede electrónica de esta entidad</w:t>
      </w:r>
      <w:r w:rsidR="00D30DCA" w:rsidRPr="0022739F">
        <w:rPr>
          <w:rFonts w:ascii="Montserrat" w:hAnsi="Montserrat" w:cs="Arial"/>
          <w:i/>
          <w:sz w:val="20"/>
          <w:szCs w:val="20"/>
          <w:lang w:val="es-ES_tradnl" w:eastAsia="es-ES"/>
        </w:rPr>
        <w:t>.</w:t>
      </w:r>
      <w:r w:rsidRPr="0022739F">
        <w:rPr>
          <w:rFonts w:ascii="Montserrat" w:hAnsi="Montserrat" w:cs="Arial"/>
          <w:i/>
          <w:sz w:val="20"/>
          <w:szCs w:val="20"/>
          <w:lang w:val="es-ES_tradnl" w:eastAsia="es-ES"/>
        </w:rPr>
        <w:t xml:space="preserve"> </w:t>
      </w:r>
    </w:p>
    <w:p w:rsidR="00FD713B" w:rsidRPr="0022739F" w:rsidRDefault="00FD713B" w:rsidP="00611C8E">
      <w:pPr>
        <w:widowControl w:val="0"/>
        <w:spacing w:line="276" w:lineRule="auto"/>
        <w:ind w:firstLine="709"/>
        <w:rPr>
          <w:rFonts w:ascii="Montserrat" w:hAnsi="Montserrat" w:cs="Arial"/>
          <w:snapToGrid w:val="0"/>
          <w:sz w:val="20"/>
          <w:szCs w:val="20"/>
          <w:lang w:val="es-ES_tradnl"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>H.</w:t>
      </w:r>
      <w:r w:rsidR="00D30DCA"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Finalizado el periodo de información pública, se adopta</w:t>
      </w:r>
      <w:r w:rsidR="00A37DC1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rá el a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cuerdo definitivo que proceda, resolviendo las reclamaciones presentadas y la redacción definitiva de la Ordenanza</w:t>
      </w:r>
      <w:r w:rsidR="00D84458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.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 En el caso de que no se hubiesen presentado reclamaciones, se entende</w:t>
      </w:r>
      <w:r w:rsidR="00A37DC1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rá definitivamente adoptado el a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cuerdo, hasta entonces provisional, sin necesidad de Acuerdo plenario.</w:t>
      </w:r>
    </w:p>
    <w:p w:rsidR="00FD713B" w:rsidRPr="0022739F" w:rsidRDefault="00D30DCA" w:rsidP="00D84458">
      <w:pPr>
        <w:widowControl w:val="0"/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>I.</w:t>
      </w:r>
      <w:r w:rsidRPr="0022739F">
        <w:rPr>
          <w:rFonts w:ascii="Montserrat" w:hAnsi="Montserrat" w:cs="Arial"/>
          <w:sz w:val="20"/>
          <w:szCs w:val="20"/>
          <w:lang w:eastAsia="es-ES"/>
        </w:rPr>
        <w:t xml:space="preserve"> </w:t>
      </w:r>
      <w:r w:rsidR="00FD713B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>El Acuerdo de aprobación definitiva -</w:t>
      </w:r>
      <w:r w:rsidR="00FD713B" w:rsidRPr="0022739F">
        <w:rPr>
          <w:rFonts w:ascii="Montserrat" w:hAnsi="Montserrat" w:cs="Arial"/>
          <w:iCs/>
          <w:snapToGrid w:val="0"/>
          <w:sz w:val="20"/>
          <w:szCs w:val="20"/>
          <w:lang w:val="es-ES_tradnl" w:eastAsia="es-ES"/>
        </w:rPr>
        <w:t>expreso o tácito-</w:t>
      </w:r>
      <w:r w:rsidR="00FD713B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 y el texto íntegro de la modificación de la Ordenanza fiscal reguladora del impuesto</w:t>
      </w: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 </w:t>
      </w:r>
      <w:r w:rsidR="00FD713B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se publica en el tablón de anuncios de esta entidad y en el </w:t>
      </w:r>
      <w:r w:rsidR="00FD713B" w:rsidRPr="0022739F">
        <w:rPr>
          <w:rFonts w:ascii="Montserrat" w:hAnsi="Montserrat" w:cs="Arial"/>
          <w:iCs/>
          <w:snapToGrid w:val="0"/>
          <w:sz w:val="20"/>
          <w:szCs w:val="20"/>
          <w:lang w:val="es-ES_tradnl" w:eastAsia="es-ES"/>
        </w:rPr>
        <w:t>Boletín Oficial de la Provincia</w:t>
      </w:r>
      <w:r w:rsidR="00FD713B"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, momento en el cual entrará en vigor. </w:t>
      </w:r>
    </w:p>
    <w:p w:rsidR="00FD713B" w:rsidRPr="0022739F" w:rsidRDefault="00FD713B" w:rsidP="00D84458">
      <w:pPr>
        <w:widowControl w:val="0"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line="276" w:lineRule="auto"/>
        <w:ind w:firstLine="567"/>
        <w:rPr>
          <w:rFonts w:ascii="Montserrat" w:hAnsi="Montserrat" w:cs="Arial"/>
          <w:i/>
          <w:sz w:val="20"/>
          <w:szCs w:val="20"/>
          <w:lang w:eastAsia="es-ES"/>
        </w:rPr>
      </w:pPr>
      <w:r w:rsidRPr="0022739F">
        <w:rPr>
          <w:rFonts w:ascii="Montserrat" w:hAnsi="Montserrat" w:cs="Arial"/>
          <w:snapToGrid w:val="0"/>
          <w:sz w:val="20"/>
          <w:szCs w:val="20"/>
          <w:lang w:val="es-ES_tradnl" w:eastAsia="es-ES"/>
        </w:rPr>
        <w:t xml:space="preserve">Dicho Acuerdo de aprobación definitiva se notifica a aquellos interesados que hubieran presentado alegaciones y estará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a disposición de los interesados en la sede electrónica de</w:t>
      </w:r>
      <w:r w:rsidR="00D30DCA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hAnsi="Montserrat" w:cs="Arial"/>
          <w:sz w:val="20"/>
          <w:szCs w:val="20"/>
          <w:lang w:val="es-ES_tradnl" w:eastAsia="es-ES"/>
        </w:rPr>
        <w:t>esta entidad</w:t>
      </w:r>
      <w:r w:rsidR="00D30DCA" w:rsidRPr="0022739F">
        <w:rPr>
          <w:rFonts w:ascii="Montserrat" w:hAnsi="Montserrat" w:cs="Arial"/>
          <w:i/>
          <w:sz w:val="20"/>
          <w:szCs w:val="20"/>
          <w:lang w:val="es-ES_tradnl" w:eastAsia="es-ES"/>
        </w:rPr>
        <w:t>.</w:t>
      </w:r>
    </w:p>
    <w:p w:rsidR="005F0099" w:rsidRPr="0022739F" w:rsidRDefault="00FD713B" w:rsidP="005F0099">
      <w:pPr>
        <w:spacing w:line="276" w:lineRule="auto"/>
        <w:ind w:firstLine="709"/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</w:pPr>
      <w:r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>CUARTO.</w:t>
      </w:r>
      <w:r w:rsidR="00D30DCA" w:rsidRPr="0022739F">
        <w:rPr>
          <w:rFonts w:ascii="Montserrat" w:hAnsi="Montserrat" w:cs="Arial"/>
          <w:b/>
          <w:bCs/>
          <w:sz w:val="20"/>
          <w:szCs w:val="20"/>
          <w:lang w:val="es-ES_tradnl" w:eastAsia="es-ES"/>
        </w:rPr>
        <w:t xml:space="preserve"> 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De acuerdo con la legislación aplicable, </w:t>
      </w:r>
      <w:r w:rsidR="00D30DCA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esta Secretaría-Intervención </w:t>
      </w:r>
      <w:r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concluye que el proyecto</w:t>
      </w:r>
      <w:r w:rsidR="00D30DCA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 </w:t>
      </w:r>
      <w:r w:rsidR="00A37DC1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normativo de Ordenanza F</w:t>
      </w:r>
      <w:r w:rsidR="00D30DCA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iscal </w:t>
      </w:r>
      <w:r w:rsidR="00A37DC1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>Reguladora de la tasa por la utilización privativa y aprovechamiento especial constituido por el suelo, subsuelo y vuelo de la vía pública a favor de empresas explotadoras de servicios de suministro</w:t>
      </w:r>
      <w:r w:rsidR="005F0099" w:rsidRPr="0022739F">
        <w:rPr>
          <w:rFonts w:ascii="Montserrat" w:eastAsia="Verdana" w:hAnsi="Montserrat" w:cs="Arial"/>
          <w:color w:val="000000"/>
          <w:sz w:val="20"/>
          <w:szCs w:val="20"/>
          <w:lang w:val="es-ES_tradnl" w:eastAsia="es-ES"/>
        </w:rPr>
        <w:t xml:space="preserve"> contiene los requisitos mínimos establecidos en el artículo 16 del </w:t>
      </w:r>
      <w:r w:rsidR="005F0099" w:rsidRPr="0022739F">
        <w:rPr>
          <w:rFonts w:ascii="Montserrat" w:hAnsi="Montserrat" w:cs="Arial"/>
          <w:sz w:val="20"/>
          <w:szCs w:val="20"/>
          <w:lang w:val="es-ES_tradnl" w:eastAsia="es-ES"/>
        </w:rPr>
        <w:t xml:space="preserve">Real Decreto Legislativo 2/2004, de 5 de marzo, no contradiciendo a priori, norma legal alguna. </w:t>
      </w:r>
    </w:p>
    <w:p w:rsidR="00D84458" w:rsidRDefault="00D84458" w:rsidP="005F0099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lang w:eastAsia="es-ES"/>
        </w:rPr>
        <w:lastRenderedPageBreak/>
        <w:t>Es mi leal saber y entender, dejando a salvo cualquier otro parecer jurídico mejor fundamentado en derecho positivo. No obstante su superi</w:t>
      </w:r>
      <w:r w:rsidR="005F0099" w:rsidRPr="0022739F">
        <w:rPr>
          <w:rFonts w:ascii="Montserrat" w:hAnsi="Montserrat" w:cs="Arial"/>
          <w:sz w:val="20"/>
          <w:szCs w:val="20"/>
          <w:lang w:eastAsia="es-ES"/>
        </w:rPr>
        <w:t>or autoridad resolverá lo que al</w:t>
      </w:r>
      <w:r w:rsidRPr="0022739F">
        <w:rPr>
          <w:rFonts w:ascii="Montserrat" w:hAnsi="Montserrat" w:cs="Arial"/>
          <w:sz w:val="20"/>
          <w:szCs w:val="20"/>
          <w:lang w:eastAsia="es-ES"/>
        </w:rPr>
        <w:t xml:space="preserve"> interés general mejor convenga. </w:t>
      </w:r>
    </w:p>
    <w:p w:rsidR="0022739F" w:rsidRDefault="0022739F" w:rsidP="005F0099">
      <w:pPr>
        <w:spacing w:line="276" w:lineRule="auto"/>
        <w:ind w:firstLine="709"/>
        <w:rPr>
          <w:rFonts w:ascii="Montserrat" w:hAnsi="Montserrat" w:cs="Arial"/>
          <w:sz w:val="20"/>
          <w:szCs w:val="20"/>
          <w:lang w:eastAsia="es-ES"/>
        </w:rPr>
      </w:pPr>
    </w:p>
    <w:p w:rsidR="0022739F" w:rsidRPr="0022739F" w:rsidRDefault="0022739F" w:rsidP="005F0099">
      <w:pPr>
        <w:spacing w:line="276" w:lineRule="auto"/>
        <w:ind w:firstLine="709"/>
        <w:rPr>
          <w:rFonts w:ascii="Montserrat" w:eastAsia="Verdana" w:hAnsi="Montserrat" w:cs="Arial"/>
          <w:color w:val="000000"/>
          <w:sz w:val="20"/>
          <w:szCs w:val="20"/>
          <w:highlight w:val="yellow"/>
          <w:lang w:val="es-ES_tradnl" w:eastAsia="es-ES"/>
        </w:rPr>
      </w:pPr>
    </w:p>
    <w:p w:rsidR="00FD713B" w:rsidRDefault="00D84458" w:rsidP="0022739F">
      <w:pPr>
        <w:widowControl w:val="0"/>
        <w:spacing w:line="276" w:lineRule="auto"/>
        <w:ind w:left="0"/>
        <w:jc w:val="center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lang w:eastAsia="es-ES"/>
        </w:rPr>
        <w:t xml:space="preserve">En </w:t>
      </w:r>
      <w:r w:rsidR="009151E2" w:rsidRPr="0022739F">
        <w:rPr>
          <w:rFonts w:ascii="Montserrat" w:hAnsi="Montserrat" w:cs="Arial"/>
          <w:sz w:val="20"/>
          <w:szCs w:val="20"/>
          <w:lang w:eastAsia="es-ES"/>
        </w:rPr>
        <w:t xml:space="preserve">XXX </w:t>
      </w:r>
      <w:proofErr w:type="spellStart"/>
      <w:r w:rsidR="009151E2" w:rsidRPr="0022739F">
        <w:rPr>
          <w:rFonts w:ascii="Montserrat" w:hAnsi="Montserrat" w:cs="Arial"/>
          <w:sz w:val="20"/>
          <w:szCs w:val="20"/>
          <w:lang w:eastAsia="es-ES"/>
        </w:rPr>
        <w:t>XXX</w:t>
      </w:r>
      <w:proofErr w:type="spellEnd"/>
      <w:r w:rsidR="009151E2" w:rsidRPr="0022739F">
        <w:rPr>
          <w:rFonts w:ascii="Montserrat" w:hAnsi="Montserrat" w:cs="Arial"/>
          <w:sz w:val="20"/>
          <w:szCs w:val="20"/>
          <w:lang w:eastAsia="es-ES"/>
        </w:rPr>
        <w:t xml:space="preserve"> </w:t>
      </w:r>
      <w:proofErr w:type="spellStart"/>
      <w:r w:rsidR="009151E2" w:rsidRPr="0022739F">
        <w:rPr>
          <w:rFonts w:ascii="Montserrat" w:hAnsi="Montserrat" w:cs="Arial"/>
          <w:sz w:val="20"/>
          <w:szCs w:val="20"/>
          <w:lang w:eastAsia="es-ES"/>
        </w:rPr>
        <w:t>XXX</w:t>
      </w:r>
      <w:proofErr w:type="spellEnd"/>
      <w:r w:rsidRPr="0022739F">
        <w:rPr>
          <w:rFonts w:ascii="Montserrat" w:hAnsi="Montserrat" w:cs="Arial"/>
          <w:sz w:val="20"/>
          <w:szCs w:val="20"/>
          <w:lang w:eastAsia="es-ES"/>
        </w:rPr>
        <w:t xml:space="preserve"> a fecha de firma digital</w:t>
      </w:r>
    </w:p>
    <w:p w:rsidR="0022739F" w:rsidRDefault="0022739F" w:rsidP="0022739F">
      <w:pPr>
        <w:widowControl w:val="0"/>
        <w:spacing w:line="276" w:lineRule="auto"/>
        <w:ind w:left="0"/>
        <w:jc w:val="center"/>
        <w:rPr>
          <w:rFonts w:ascii="Montserrat" w:hAnsi="Montserrat" w:cs="Arial"/>
          <w:sz w:val="20"/>
          <w:szCs w:val="20"/>
          <w:lang w:eastAsia="es-ES"/>
        </w:rPr>
      </w:pPr>
    </w:p>
    <w:p w:rsidR="0022739F" w:rsidRPr="0022739F" w:rsidRDefault="0022739F" w:rsidP="0022739F">
      <w:pPr>
        <w:widowControl w:val="0"/>
        <w:spacing w:line="276" w:lineRule="auto"/>
        <w:ind w:left="0"/>
        <w:jc w:val="center"/>
        <w:rPr>
          <w:rFonts w:ascii="Montserrat" w:hAnsi="Montserrat" w:cs="Arial"/>
          <w:sz w:val="20"/>
          <w:szCs w:val="20"/>
          <w:lang w:eastAsia="es-ES"/>
        </w:rPr>
      </w:pPr>
    </w:p>
    <w:p w:rsidR="005F0099" w:rsidRDefault="00D84458" w:rsidP="0022739F">
      <w:pPr>
        <w:widowControl w:val="0"/>
        <w:spacing w:line="276" w:lineRule="auto"/>
        <w:ind w:left="0"/>
        <w:jc w:val="center"/>
        <w:rPr>
          <w:rFonts w:ascii="Montserrat" w:hAnsi="Montserrat" w:cs="Arial"/>
          <w:sz w:val="20"/>
          <w:szCs w:val="20"/>
          <w:lang w:eastAsia="es-ES"/>
        </w:rPr>
      </w:pPr>
      <w:r w:rsidRPr="0022739F">
        <w:rPr>
          <w:rFonts w:ascii="Montserrat" w:hAnsi="Montserrat" w:cs="Arial"/>
          <w:sz w:val="20"/>
          <w:szCs w:val="20"/>
          <w:lang w:eastAsia="es-ES"/>
        </w:rPr>
        <w:t>El Secretario-Interventor</w:t>
      </w:r>
    </w:p>
    <w:p w:rsidR="0022739F" w:rsidRPr="0022739F" w:rsidRDefault="0022739F" w:rsidP="0022739F">
      <w:pPr>
        <w:widowControl w:val="0"/>
        <w:spacing w:line="276" w:lineRule="auto"/>
        <w:ind w:left="0"/>
        <w:jc w:val="center"/>
        <w:rPr>
          <w:rFonts w:ascii="Montserrat" w:hAnsi="Montserrat" w:cs="Arial"/>
          <w:sz w:val="20"/>
          <w:szCs w:val="20"/>
          <w:lang w:eastAsia="es-ES"/>
        </w:rPr>
      </w:pPr>
    </w:p>
    <w:p w:rsidR="00D84458" w:rsidRPr="0022739F" w:rsidRDefault="00D84458" w:rsidP="00611C8E">
      <w:pPr>
        <w:widowControl w:val="0"/>
        <w:spacing w:line="276" w:lineRule="auto"/>
        <w:ind w:left="0"/>
        <w:rPr>
          <w:rFonts w:ascii="Montserrat" w:hAnsi="Montserrat" w:cs="Arial"/>
          <w:sz w:val="20"/>
          <w:szCs w:val="20"/>
          <w:lang w:eastAsia="es-ES"/>
        </w:rPr>
      </w:pPr>
    </w:p>
    <w:p w:rsidR="00210697" w:rsidRPr="0022739F" w:rsidRDefault="00FD713B" w:rsidP="005F0099">
      <w:pPr>
        <w:spacing w:line="276" w:lineRule="auto"/>
        <w:ind w:right="-136"/>
        <w:jc w:val="center"/>
        <w:rPr>
          <w:rFonts w:ascii="Montserrat" w:hAnsi="Montserrat" w:cs="Arial"/>
          <w:b/>
          <w:sz w:val="20"/>
          <w:szCs w:val="20"/>
          <w:lang w:eastAsia="es-ES"/>
        </w:rPr>
      </w:pPr>
      <w:r w:rsidRPr="0022739F">
        <w:rPr>
          <w:rFonts w:ascii="Montserrat" w:hAnsi="Montserrat" w:cs="Arial"/>
          <w:b/>
          <w:sz w:val="20"/>
          <w:szCs w:val="20"/>
          <w:lang w:val="es-ES_tradnl" w:eastAsia="es-ES"/>
        </w:rPr>
        <w:t>DOCUMENTO FIRMADO ELECTRÓNICAMENTE</w:t>
      </w:r>
    </w:p>
    <w:sectPr w:rsidR="00210697" w:rsidRPr="0022739F" w:rsidSect="000D2914">
      <w:footerReference w:type="default" r:id="rId7"/>
      <w:pgSz w:w="11906" w:h="16838"/>
      <w:pgMar w:top="1276" w:right="1416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1CA" w:rsidRDefault="001A61CA" w:rsidP="00B072B8">
      <w:r>
        <w:separator/>
      </w:r>
    </w:p>
  </w:endnote>
  <w:endnote w:type="continuationSeparator" w:id="0">
    <w:p w:rsidR="001A61CA" w:rsidRDefault="001A61CA" w:rsidP="00B07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cuman Medium">
    <w:altName w:val="Calibri"/>
    <w:panose1 w:val="00000000000000000000"/>
    <w:charset w:val="00"/>
    <w:family w:val="modern"/>
    <w:notTrueType/>
    <w:pitch w:val="variable"/>
    <w:sig w:usb0="A10000AF" w:usb1="1000206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6947708"/>
      <w:docPartObj>
        <w:docPartGallery w:val="Page Numbers (Bottom of Page)"/>
        <w:docPartUnique/>
      </w:docPartObj>
    </w:sdtPr>
    <w:sdtContent>
      <w:p w:rsidR="00A37DC1" w:rsidRDefault="002F7E83">
        <w:pPr>
          <w:pStyle w:val="Piedepgina"/>
          <w:jc w:val="right"/>
        </w:pPr>
        <w:fldSimple w:instr="PAGE   \* MERGEFORMAT">
          <w:r w:rsidR="0022739F">
            <w:rPr>
              <w:noProof/>
            </w:rPr>
            <w:t>4</w:t>
          </w:r>
        </w:fldSimple>
      </w:p>
    </w:sdtContent>
  </w:sdt>
  <w:p w:rsidR="00A37DC1" w:rsidRDefault="00A37DC1" w:rsidP="00B072B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1CA" w:rsidRDefault="001A61CA" w:rsidP="00B072B8">
      <w:r>
        <w:separator/>
      </w:r>
    </w:p>
  </w:footnote>
  <w:footnote w:type="continuationSeparator" w:id="0">
    <w:p w:rsidR="001A61CA" w:rsidRDefault="001A61CA" w:rsidP="00B072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E1A9D"/>
    <w:multiLevelType w:val="hybridMultilevel"/>
    <w:tmpl w:val="BDCE1D50"/>
    <w:lvl w:ilvl="0" w:tplc="3E60584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3C661C"/>
    <w:multiLevelType w:val="hybridMultilevel"/>
    <w:tmpl w:val="B980045A"/>
    <w:lvl w:ilvl="0" w:tplc="68109EF4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57387"/>
    <w:multiLevelType w:val="hybridMultilevel"/>
    <w:tmpl w:val="5482916E"/>
    <w:lvl w:ilvl="0" w:tplc="C16602F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34D6A"/>
    <w:multiLevelType w:val="hybridMultilevel"/>
    <w:tmpl w:val="BA90DF0A"/>
    <w:lvl w:ilvl="0" w:tplc="9306DF32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2EF07149"/>
    <w:multiLevelType w:val="multilevel"/>
    <w:tmpl w:val="666A54E0"/>
    <w:lvl w:ilvl="0">
      <w:start w:val="1"/>
      <w:numFmt w:val="lowerLetter"/>
      <w:pStyle w:val="a"/>
      <w:lvlText w:val="%1)"/>
      <w:lvlJc w:val="left"/>
      <w:pPr>
        <w:tabs>
          <w:tab w:val="num" w:pos="0"/>
        </w:tabs>
        <w:ind w:left="480" w:hanging="480"/>
      </w:pPr>
      <w:rPr>
        <w:rFonts w:hint="default"/>
        <w:b/>
        <w:i w:val="0"/>
        <w:color w:val="0070C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)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)"/>
      <w:lvlJc w:val="left"/>
      <w:pPr>
        <w:tabs>
          <w:tab w:val="num" w:pos="5760"/>
        </w:tabs>
        <w:ind w:left="6240" w:hanging="480"/>
      </w:pPr>
    </w:lvl>
  </w:abstractNum>
  <w:abstractNum w:abstractNumId="5">
    <w:nsid w:val="301F4F4C"/>
    <w:multiLevelType w:val="hybridMultilevel"/>
    <w:tmpl w:val="AFA852AA"/>
    <w:lvl w:ilvl="0" w:tplc="0C0A0001">
      <w:start w:val="1"/>
      <w:numFmt w:val="bullet"/>
      <w:lvlText w:val=""/>
      <w:lvlJc w:val="left"/>
      <w:pPr>
        <w:ind w:left="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7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3" w:hanging="360"/>
      </w:pPr>
      <w:rPr>
        <w:rFonts w:ascii="Wingdings" w:hAnsi="Wingdings" w:hint="default"/>
      </w:rPr>
    </w:lvl>
  </w:abstractNum>
  <w:abstractNum w:abstractNumId="6">
    <w:nsid w:val="338B2510"/>
    <w:multiLevelType w:val="hybridMultilevel"/>
    <w:tmpl w:val="A0DEEFFC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9306DF32">
      <w:start w:val="1"/>
      <w:numFmt w:val="decimal"/>
      <w:lvlText w:val="%2."/>
      <w:lvlJc w:val="left"/>
      <w:pPr>
        <w:ind w:left="76" w:hanging="360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3608032E"/>
    <w:multiLevelType w:val="hybridMultilevel"/>
    <w:tmpl w:val="E400933E"/>
    <w:lvl w:ilvl="0" w:tplc="DD60660A">
      <w:start w:val="1"/>
      <w:numFmt w:val="upperRoman"/>
      <w:lvlText w:val="%1."/>
      <w:lvlJc w:val="left"/>
      <w:pPr>
        <w:ind w:left="1003" w:hanging="720"/>
      </w:pPr>
      <w:rPr>
        <w:rFonts w:cstheme="minorBid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3" w:hanging="360"/>
      </w:pPr>
    </w:lvl>
    <w:lvl w:ilvl="2" w:tplc="0C0A001B" w:tentative="1">
      <w:start w:val="1"/>
      <w:numFmt w:val="lowerRoman"/>
      <w:lvlText w:val="%3."/>
      <w:lvlJc w:val="right"/>
      <w:pPr>
        <w:ind w:left="2083" w:hanging="180"/>
      </w:pPr>
    </w:lvl>
    <w:lvl w:ilvl="3" w:tplc="0C0A000F" w:tentative="1">
      <w:start w:val="1"/>
      <w:numFmt w:val="decimal"/>
      <w:lvlText w:val="%4."/>
      <w:lvlJc w:val="left"/>
      <w:pPr>
        <w:ind w:left="2803" w:hanging="360"/>
      </w:pPr>
    </w:lvl>
    <w:lvl w:ilvl="4" w:tplc="0C0A0019" w:tentative="1">
      <w:start w:val="1"/>
      <w:numFmt w:val="lowerLetter"/>
      <w:lvlText w:val="%5."/>
      <w:lvlJc w:val="left"/>
      <w:pPr>
        <w:ind w:left="3523" w:hanging="360"/>
      </w:pPr>
    </w:lvl>
    <w:lvl w:ilvl="5" w:tplc="0C0A001B" w:tentative="1">
      <w:start w:val="1"/>
      <w:numFmt w:val="lowerRoman"/>
      <w:lvlText w:val="%6."/>
      <w:lvlJc w:val="right"/>
      <w:pPr>
        <w:ind w:left="4243" w:hanging="180"/>
      </w:pPr>
    </w:lvl>
    <w:lvl w:ilvl="6" w:tplc="0C0A000F" w:tentative="1">
      <w:start w:val="1"/>
      <w:numFmt w:val="decimal"/>
      <w:lvlText w:val="%7."/>
      <w:lvlJc w:val="left"/>
      <w:pPr>
        <w:ind w:left="4963" w:hanging="360"/>
      </w:pPr>
    </w:lvl>
    <w:lvl w:ilvl="7" w:tplc="0C0A0019" w:tentative="1">
      <w:start w:val="1"/>
      <w:numFmt w:val="lowerLetter"/>
      <w:lvlText w:val="%8."/>
      <w:lvlJc w:val="left"/>
      <w:pPr>
        <w:ind w:left="5683" w:hanging="360"/>
      </w:pPr>
    </w:lvl>
    <w:lvl w:ilvl="8" w:tplc="0C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EBC0332"/>
    <w:multiLevelType w:val="hybridMultilevel"/>
    <w:tmpl w:val="7AA6B926"/>
    <w:lvl w:ilvl="0" w:tplc="0C0A000F">
      <w:start w:val="1"/>
      <w:numFmt w:val="decimal"/>
      <w:lvlText w:val="%1."/>
      <w:lvlJc w:val="left"/>
      <w:pPr>
        <w:ind w:left="436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40F251BD"/>
    <w:multiLevelType w:val="hybridMultilevel"/>
    <w:tmpl w:val="4A40DE44"/>
    <w:lvl w:ilvl="0" w:tplc="B2CCE3C2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42BD0950"/>
    <w:multiLevelType w:val="multilevel"/>
    <w:tmpl w:val="779E71E4"/>
    <w:lvl w:ilvl="0">
      <w:start w:val="1"/>
      <w:numFmt w:val="decimal"/>
      <w:pStyle w:val="1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0070C0"/>
      </w:rPr>
    </w:lvl>
    <w:lvl w:ilvl="1">
      <w:start w:val="1"/>
      <w:numFmt w:val="decimal"/>
      <w:lvlText w:val="%1.%2."/>
      <w:lvlJc w:val="left"/>
      <w:pPr>
        <w:ind w:left="792" w:hanging="508"/>
      </w:pPr>
      <w:rPr>
        <w:rFonts w:ascii="Arial" w:hAnsi="Arial" w:hint="default"/>
        <w:b/>
        <w:i w:val="0"/>
        <w:color w:val="0070C0"/>
      </w:rPr>
    </w:lvl>
    <w:lvl w:ilvl="2">
      <w:start w:val="1"/>
      <w:numFmt w:val="decimal"/>
      <w:lvlText w:val="%1.%2.%3."/>
      <w:lvlJc w:val="left"/>
      <w:pPr>
        <w:ind w:left="1474" w:hanging="680"/>
      </w:pPr>
      <w:rPr>
        <w:rFonts w:ascii="Arial" w:hAnsi="Arial" w:hint="default"/>
        <w:b/>
        <w:i w:val="0"/>
        <w:color w:val="0070C0"/>
      </w:rPr>
    </w:lvl>
    <w:lvl w:ilvl="3">
      <w:start w:val="1"/>
      <w:numFmt w:val="decimal"/>
      <w:lvlText w:val="%1.%2.%3.%4."/>
      <w:lvlJc w:val="left"/>
      <w:pPr>
        <w:ind w:left="2381" w:hanging="907"/>
      </w:pPr>
      <w:rPr>
        <w:rFonts w:ascii="Arial" w:hAnsi="Arial" w:hint="default"/>
        <w:b/>
        <w:i w:val="0"/>
        <w:color w:val="ED7D31" w:themeColor="accent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E387DFC"/>
    <w:multiLevelType w:val="multilevel"/>
    <w:tmpl w:val="788881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8"/>
  </w:num>
  <w:num w:numId="10">
    <w:abstractNumId w:val="3"/>
  </w:num>
  <w:num w:numId="11">
    <w:abstractNumId w:val="9"/>
  </w:num>
  <w:num w:numId="12">
    <w:abstractNumId w:val="6"/>
  </w:num>
  <w:num w:numId="13">
    <w:abstractNumId w:val="10"/>
  </w:num>
  <w:num w:numId="14">
    <w:abstractNumId w:val="4"/>
  </w:num>
  <w:num w:numId="15">
    <w:abstractNumId w:val="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E321C"/>
    <w:rsid w:val="00011FE7"/>
    <w:rsid w:val="00066450"/>
    <w:rsid w:val="00076276"/>
    <w:rsid w:val="000919DF"/>
    <w:rsid w:val="000A2871"/>
    <w:rsid w:val="000B63B6"/>
    <w:rsid w:val="000D1E19"/>
    <w:rsid w:val="000D2914"/>
    <w:rsid w:val="000F20D4"/>
    <w:rsid w:val="0012052E"/>
    <w:rsid w:val="001342CE"/>
    <w:rsid w:val="001449E7"/>
    <w:rsid w:val="00175DED"/>
    <w:rsid w:val="0018463F"/>
    <w:rsid w:val="001A61CA"/>
    <w:rsid w:val="001C0028"/>
    <w:rsid w:val="001D7FD4"/>
    <w:rsid w:val="001F3986"/>
    <w:rsid w:val="0020366B"/>
    <w:rsid w:val="00210697"/>
    <w:rsid w:val="0022739F"/>
    <w:rsid w:val="0025267F"/>
    <w:rsid w:val="0026228E"/>
    <w:rsid w:val="00282C3F"/>
    <w:rsid w:val="002F6BE9"/>
    <w:rsid w:val="002F7E83"/>
    <w:rsid w:val="00314FF0"/>
    <w:rsid w:val="0034432E"/>
    <w:rsid w:val="00346B38"/>
    <w:rsid w:val="003A64C7"/>
    <w:rsid w:val="003F6CB6"/>
    <w:rsid w:val="00402E7D"/>
    <w:rsid w:val="00411FD6"/>
    <w:rsid w:val="004212C6"/>
    <w:rsid w:val="00430892"/>
    <w:rsid w:val="00437D31"/>
    <w:rsid w:val="00445F3B"/>
    <w:rsid w:val="00483D69"/>
    <w:rsid w:val="004C49B2"/>
    <w:rsid w:val="00511EF8"/>
    <w:rsid w:val="005671AD"/>
    <w:rsid w:val="005A23E5"/>
    <w:rsid w:val="005F0099"/>
    <w:rsid w:val="00611C8E"/>
    <w:rsid w:val="00612DFE"/>
    <w:rsid w:val="006E7899"/>
    <w:rsid w:val="00732D78"/>
    <w:rsid w:val="007429F1"/>
    <w:rsid w:val="007A34A4"/>
    <w:rsid w:val="007B064F"/>
    <w:rsid w:val="007C575A"/>
    <w:rsid w:val="007C6CB2"/>
    <w:rsid w:val="007D440A"/>
    <w:rsid w:val="007F69DF"/>
    <w:rsid w:val="00804AD4"/>
    <w:rsid w:val="00847311"/>
    <w:rsid w:val="008527F7"/>
    <w:rsid w:val="008528AA"/>
    <w:rsid w:val="00855AED"/>
    <w:rsid w:val="009151E2"/>
    <w:rsid w:val="0094716F"/>
    <w:rsid w:val="009776E9"/>
    <w:rsid w:val="00977C77"/>
    <w:rsid w:val="009C6940"/>
    <w:rsid w:val="00A116F3"/>
    <w:rsid w:val="00A130D9"/>
    <w:rsid w:val="00A13BD0"/>
    <w:rsid w:val="00A37DC1"/>
    <w:rsid w:val="00A90A1E"/>
    <w:rsid w:val="00AA2AF5"/>
    <w:rsid w:val="00AA57EE"/>
    <w:rsid w:val="00AB2760"/>
    <w:rsid w:val="00AC05B4"/>
    <w:rsid w:val="00B072B8"/>
    <w:rsid w:val="00BB7480"/>
    <w:rsid w:val="00C22690"/>
    <w:rsid w:val="00C40144"/>
    <w:rsid w:val="00C4295E"/>
    <w:rsid w:val="00C51E31"/>
    <w:rsid w:val="00C752A1"/>
    <w:rsid w:val="00C950DF"/>
    <w:rsid w:val="00CC0462"/>
    <w:rsid w:val="00CD3100"/>
    <w:rsid w:val="00CE321C"/>
    <w:rsid w:val="00CE6AE2"/>
    <w:rsid w:val="00D02A56"/>
    <w:rsid w:val="00D25074"/>
    <w:rsid w:val="00D30DCA"/>
    <w:rsid w:val="00D50CAA"/>
    <w:rsid w:val="00D62BF4"/>
    <w:rsid w:val="00D84458"/>
    <w:rsid w:val="00DA1113"/>
    <w:rsid w:val="00DA6A0F"/>
    <w:rsid w:val="00DD683A"/>
    <w:rsid w:val="00DE6A65"/>
    <w:rsid w:val="00E55911"/>
    <w:rsid w:val="00E73E77"/>
    <w:rsid w:val="00EB6257"/>
    <w:rsid w:val="00F30A15"/>
    <w:rsid w:val="00F3183F"/>
    <w:rsid w:val="00F41DDA"/>
    <w:rsid w:val="00F4459D"/>
    <w:rsid w:val="00F644B1"/>
    <w:rsid w:val="00F65169"/>
    <w:rsid w:val="00FB27AB"/>
    <w:rsid w:val="00FB5B07"/>
    <w:rsid w:val="00FD713B"/>
    <w:rsid w:val="00FF5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2B8"/>
    <w:pPr>
      <w:spacing w:before="240"/>
      <w:ind w:left="-284"/>
      <w:jc w:val="both"/>
    </w:pPr>
    <w:rPr>
      <w:rFonts w:ascii="Arial Narrow" w:hAnsi="Arial Narrow"/>
      <w:sz w:val="24"/>
      <w:szCs w:val="24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D62BF4"/>
    <w:pPr>
      <w:keepNext/>
      <w:keepLines/>
      <w:numPr>
        <w:numId w:val="8"/>
      </w:numPr>
      <w:pBdr>
        <w:bottom w:val="single" w:sz="4" w:space="1" w:color="auto"/>
      </w:pBdr>
      <w:suppressAutoHyphens/>
      <w:spacing w:before="360" w:after="120" w:line="240" w:lineRule="auto"/>
      <w:ind w:left="-142" w:hanging="425"/>
      <w:outlineLvl w:val="0"/>
    </w:pPr>
    <w:rPr>
      <w:rFonts w:eastAsiaTheme="majorEastAsia" w:cstheme="majorBidi"/>
      <w:b/>
      <w:bCs/>
      <w:color w:val="0070C0"/>
      <w:sz w:val="28"/>
      <w:szCs w:val="28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411FD6"/>
    <w:pPr>
      <w:numPr>
        <w:ilvl w:val="1"/>
      </w:numPr>
      <w:pBdr>
        <w:bottom w:val="none" w:sz="0" w:space="0" w:color="auto"/>
      </w:pBdr>
      <w:spacing w:before="240"/>
      <w:ind w:left="0"/>
      <w:outlineLvl w:val="1"/>
    </w:pPr>
    <w:rPr>
      <w:b w:val="0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E73E77"/>
    <w:pPr>
      <w:numPr>
        <w:ilvl w:val="2"/>
      </w:numPr>
      <w:spacing w:before="200"/>
      <w:outlineLvl w:val="2"/>
    </w:pPr>
    <w:rPr>
      <w:bCs w:val="0"/>
      <w:sz w:val="26"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E73E77"/>
    <w:pPr>
      <w:numPr>
        <w:ilvl w:val="3"/>
      </w:numPr>
      <w:outlineLvl w:val="3"/>
    </w:pPr>
    <w:rPr>
      <w:bCs/>
      <w:sz w:val="24"/>
    </w:rPr>
  </w:style>
  <w:style w:type="paragraph" w:styleId="Ttulo5">
    <w:name w:val="heading 5"/>
    <w:basedOn w:val="Ttulo4"/>
    <w:next w:val="Textoindependiente"/>
    <w:link w:val="Ttulo5Car"/>
    <w:uiPriority w:val="9"/>
    <w:unhideWhenUsed/>
    <w:rsid w:val="00E73E77"/>
    <w:pPr>
      <w:numPr>
        <w:ilvl w:val="4"/>
      </w:numPr>
      <w:outlineLvl w:val="4"/>
    </w:pPr>
    <w:rPr>
      <w:i/>
      <w:i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32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321C"/>
  </w:style>
  <w:style w:type="paragraph" w:styleId="Piedepgina">
    <w:name w:val="footer"/>
    <w:basedOn w:val="Normal"/>
    <w:link w:val="PiedepginaCar"/>
    <w:uiPriority w:val="99"/>
    <w:unhideWhenUsed/>
    <w:rsid w:val="00CE32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21C"/>
  </w:style>
  <w:style w:type="paragraph" w:styleId="Prrafodelista">
    <w:name w:val="List Paragraph"/>
    <w:basedOn w:val="Normal"/>
    <w:uiPriority w:val="34"/>
    <w:qFormat/>
    <w:rsid w:val="001F3986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62BF4"/>
    <w:rPr>
      <w:rFonts w:ascii="Arial Narrow" w:eastAsiaTheme="majorEastAsia" w:hAnsi="Arial Narrow" w:cstheme="majorBidi"/>
      <w:b/>
      <w:bCs/>
      <w:color w:val="0070C0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411FD6"/>
    <w:rPr>
      <w:rFonts w:ascii="Arial Narrow" w:eastAsiaTheme="majorEastAsia" w:hAnsi="Arial Narrow" w:cstheme="majorBidi"/>
      <w:bCs/>
      <w:color w:val="0070C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73E77"/>
    <w:rPr>
      <w:rFonts w:ascii="Documan Medium" w:eastAsiaTheme="majorEastAsia" w:hAnsi="Documan Medium" w:cstheme="majorBidi"/>
      <w:bCs/>
      <w:color w:val="ED7D31" w:themeColor="accent2"/>
      <w:sz w:val="26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E73E77"/>
    <w:rPr>
      <w:rFonts w:ascii="Documan Medium" w:eastAsiaTheme="majorEastAsia" w:hAnsi="Documan Medium" w:cstheme="majorBidi"/>
      <w:color w:val="ED7D31" w:themeColor="accent2"/>
      <w:sz w:val="24"/>
      <w:szCs w:val="28"/>
    </w:rPr>
  </w:style>
  <w:style w:type="character" w:customStyle="1" w:styleId="Ttulo5Car">
    <w:name w:val="Título 5 Car"/>
    <w:basedOn w:val="Fuentedeprrafopredeter"/>
    <w:link w:val="Ttulo5"/>
    <w:uiPriority w:val="9"/>
    <w:rsid w:val="00E73E77"/>
    <w:rPr>
      <w:rFonts w:ascii="Documan Medium" w:eastAsiaTheme="majorEastAsia" w:hAnsi="Documan Medium" w:cstheme="majorBidi"/>
      <w:i/>
      <w:iCs/>
      <w:color w:val="ED7D31" w:themeColor="accent2"/>
      <w:szCs w:val="2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73E7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73E77"/>
  </w:style>
  <w:style w:type="paragraph" w:styleId="Revisin">
    <w:name w:val="Revision"/>
    <w:hidden/>
    <w:uiPriority w:val="99"/>
    <w:semiHidden/>
    <w:rsid w:val="00977C77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B07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072B8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072B8"/>
    <w:rPr>
      <w:color w:val="605E5C"/>
      <w:shd w:val="clear" w:color="auto" w:fill="E1DFDD"/>
    </w:rPr>
  </w:style>
  <w:style w:type="paragraph" w:customStyle="1" w:styleId="1">
    <w:name w:val="1."/>
    <w:basedOn w:val="Normal"/>
    <w:qFormat/>
    <w:rsid w:val="00F41DDA"/>
    <w:pPr>
      <w:numPr>
        <w:numId w:val="13"/>
      </w:numPr>
      <w:spacing w:before="0" w:after="100" w:line="240" w:lineRule="auto"/>
      <w:ind w:hanging="426"/>
    </w:pPr>
    <w:rPr>
      <w:rFonts w:cs="Arial"/>
      <w:szCs w:val="28"/>
      <w:lang w:val="es-ES_tradnl"/>
    </w:rPr>
  </w:style>
  <w:style w:type="paragraph" w:customStyle="1" w:styleId="a">
    <w:name w:val="a)"/>
    <w:basedOn w:val="Normal"/>
    <w:qFormat/>
    <w:rsid w:val="00F30A15"/>
    <w:pPr>
      <w:numPr>
        <w:numId w:val="14"/>
      </w:numPr>
      <w:tabs>
        <w:tab w:val="clear" w:pos="0"/>
      </w:tabs>
      <w:spacing w:before="0" w:after="100" w:line="240" w:lineRule="auto"/>
      <w:ind w:left="142"/>
    </w:pPr>
    <w:rPr>
      <w:rFonts w:cs="Arial"/>
      <w:szCs w:val="28"/>
    </w:rPr>
  </w:style>
  <w:style w:type="paragraph" w:styleId="Subttulo">
    <w:name w:val="Subtitle"/>
    <w:basedOn w:val="Normal"/>
    <w:next w:val="Normal"/>
    <w:link w:val="SubttuloCar"/>
    <w:qFormat/>
    <w:rsid w:val="00210697"/>
    <w:pPr>
      <w:spacing w:before="0" w:after="60" w:line="240" w:lineRule="auto"/>
      <w:ind w:left="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SubttuloCar">
    <w:name w:val="Subtítulo Car"/>
    <w:basedOn w:val="Fuentedeprrafopredeter"/>
    <w:link w:val="Subttulo"/>
    <w:rsid w:val="00210697"/>
    <w:rPr>
      <w:rFonts w:ascii="Cambria" w:eastAsia="Times New Roman" w:hAnsi="Cambria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069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0697"/>
    <w:rPr>
      <w:rFonts w:ascii="Tahoma" w:hAnsi="Tahoma" w:cs="Tahoma"/>
      <w:sz w:val="16"/>
      <w:szCs w:val="16"/>
    </w:rPr>
  </w:style>
  <w:style w:type="character" w:styleId="Refdenotaalpie">
    <w:name w:val="footnote reference"/>
    <w:qFormat/>
    <w:rsid w:val="00FD713B"/>
    <w:rPr>
      <w:vertAlign w:val="superscript"/>
    </w:rPr>
  </w:style>
  <w:style w:type="paragraph" w:styleId="Textonotapie">
    <w:name w:val="footnote text"/>
    <w:basedOn w:val="Normal"/>
    <w:link w:val="TextonotapieCar"/>
    <w:qFormat/>
    <w:rsid w:val="00FD713B"/>
    <w:pPr>
      <w:spacing w:before="0"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D713B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1340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REDEIA</Company>
  <LinksUpToDate>false</LinksUpToDate>
  <CharactersWithSpaces>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Arco de Mora, Antonio</dc:creator>
  <cp:lastModifiedBy>onotario</cp:lastModifiedBy>
  <cp:revision>5</cp:revision>
  <cp:lastPrinted>2023-08-01T09:00:00Z</cp:lastPrinted>
  <dcterms:created xsi:type="dcterms:W3CDTF">2025-08-14T08:47:00Z</dcterms:created>
  <dcterms:modified xsi:type="dcterms:W3CDTF">2025-09-17T07:59:00Z</dcterms:modified>
</cp:coreProperties>
</file>